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 Souhrnná technická zpráva</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Tato dokumentace pro provádění stavby vychází z projektové dokumentace pro stavební povolení, která byla zpracována 08/2020, Ing. arch. Petr Uhlíř.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Je zpracována v podrobnostech pro provádění stavby včetně výkazů výměr jednotlivých částí stavby. Podrobné řešení viz samostatné části PD.</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Samostatně zpracované části PD:</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D.1.1 Architektonicko-stavební řešení:</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D.1.2 Stavebně konstrukční řešení:</w:t>
        <w:tab/>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D.1.3 Požárně bezpečnostní řešení:</w:t>
        <w:tab/>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D.1.4.1 Zdravotechnika</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D.1.4.2 Vytápění</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D.1.4.3 Vzduchotechnika</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D.1.4.4 Elektroinstalace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D.1.4.5 Gastroprovoz</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D.1.5.1 Dopravní řešení a zpevněné plochy</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B.1 Popis území stavby</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charakteristika území a stavebního pozemku, zastavěné území a nezastavěné území, soulad navrhované stavby s charakterem území, dosavadní využití a zastavěnost území:</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Objekt mateřské školy (dále jen „MŠ“) je umístěn na pozemcích</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parc. č. 114/22, 114/23, 114/11 v k.ú. Přerov nad Labem [735035]. Objekt je napojen na stávající dopravní a technickou infrastrukturu přes pozemky parc. č. 114/10, 114/5, 114/6, 114/17, st. 159/1 v k.ú. Přerov nad Labem [735035].</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Výměra stavebních pozemků pro umístění objektu MŠ je 1348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Tyto pozemky jsou v KN vedeny jako zahrady. Výměra zpevněné přístupové komunikace je 865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Pozemky pod přístupovou komunikací jsou v KN vedeny jako zahrada a ostatní plocha. Na pozemku parc. č. st 159/1 je objekt základní školy o zastavěné ploše přibližně 1000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Stavba není kulturní památkou, nenachází se v památkové rezervaci ani památkové zóně.</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údaje o souladu s územním rozhodnutím nebo regulačním plánem anebo územním souhlasem:</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Navržená stavba je v souladu s územním plánem obce. Objekt je umisťován do zastavitelné plochy VV2 stanovené v ÚP o ploše 5.946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Základní charakteristika lokality: plochy občanského vybavení – veřejné vybavení. Prostorová regulace: max. zastavěnost parcely (nadzemními objekty): 40%, minimální zastoupení zeleně: 30%; max. podlažnost: 3 nadzemní podlaží. V dané ploše je navržena zastavěná plocha 729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zpevněné plochy o výměře 366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Navržené procento zastavění plochy dle ÚP je 18,5%. Koeficient zeleně plochy dle ÚP je 77,0%.</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informace o vydaných rozhodnutích o povolení výjimky z obecných požadavků na využívání území: </w:t>
        <w:tab/>
        <w:t xml:space="preserve">nejsou</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informace o tom, zda a v jakých částech dokumentace jsou zohledněny podmínky závazných stanovisek dotčených orgánů:</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 projektové dokumentaci pro provádění stavby jsou zapracovány podmínky Koordinovaného závazného stanoviska vydaného 25.11.2020 pod č.j.: MULNL-OVŽP/81104/2020/Roa/1KS/2069.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výčet a závěry provedených průzkumů a rozborů (geologický průzkum, hydrogeologický průzkum, stavebně historický průzkum apod).:</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Inženýrsko-geologický, hydrogeologický a radonový průzkum byly provedeny a jejich závěry jsou zohledněny v předkládané projektové dokumentaci. Jedná se především o základové podmínky včetně HPV a stanovení radonového rizika. Tyto zjištěné skutečnosti PD zohledňuje. Před výkopovými pracemi budou provedeny sondy pro ověření polohy případných stávajících konstrukcí. Projektant požaduje převzetí základové spáry statikem.</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ochrana území podle jiných právních předpisů: </w:t>
        <w:tab/>
        <w:t xml:space="preserve">není</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poloha vzhledem k záplavovému území, poddolovanému území apod.:</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Budova se nenachází v záplavovém ani poddolovaném území (hranice Q 100 blíže v části dokumentace C - Situace stavby).</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 vliv stavby na okolní stavby a pozemky, ochrana okolí, vliv stavby na odtokové poměry v území:</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Navrhovaná stavba nemá negativní vliv na životní prostředí ani vodní zdroje. Z charakteru realizované stavby nevyplývají žádná ochranná či bezpečnostní pásma. Stavba objektu Mateřské školy nemá vliv na životní prostředí.</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požadavky na asanace, demolice, kácení dřevin:</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Při stavbě dojde k odstranění nezpevněné běžecké dráhy v areálu školy. Nedochází ke kácení stávajících dřevin.</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 požadavky na maximální dočasné a trvalé zábory zemědělského půdního fondu nebo pozemků určených k plnění funkce lesa:</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Došlo k vyjmutí části pozemku ze zemědělského půdního fondu z důvodu umístění nového objektu MŠ, a to v rozsahu zastavěných a zpevněných ploch dle zákona č. 334/1992 Sb. Zastavěná plocha objektu MŠ je 729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Zpevněná plocha vnitřní areálové dopravní komunikace je 865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superscrip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BPEJ 22110 - vyjmutí plochy o výměře 1348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+ 381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celkem 1729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superscript"/>
        </w:rPr>
      </w:pP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BPEJ 25500 - vyjmutí plochy o výměře 157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 územně technické podmínky - zejména možnost napojení na stávající dopravní a technickou infrastrukturu, možnost bezbariérového přístupu k navrhované stavbě:</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Stavba bude napojena na stávající inženýrské sítě areálu, dopravní napojení areálu na místní komunikaci zůstane stávající, dojde k úpravě areálových komunikací – viz dopravní řešení D 1.5.</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 věcné a časové vazby stavby, podmiňující, vyvolané, související investice:</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Stavba bude realizována na základě stavebního povolení po jeho vydání a nabytí právní moci, předpoklad:</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Zahájení stavby </w:t>
        <w:tab/>
        <w:tab/>
        <w:tab/>
        <w:tab/>
        <w:t xml:space="preserve">03/2021</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Dokončení stavby</w:t>
        <w:tab/>
        <w:tab/>
        <w:tab/>
        <w:tab/>
        <w:t xml:space="preserve">08/2021</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 seznam pozemků podle katastru nemovitostí, na kterých se stavba umísťuje a provádí:</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parc. č. 114/22, 114/23, 114/11, 114/10, 114/5, 114/6, 114/17, st. 159/1,</w:t>
        <w:tab/>
        <w:tab/>
        <w:t xml:space="preserve">vše v k.ú. Přerov nad Labem [735035].</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 seznam pozemků podle katastru nemovitostí, na kterých vznikne ochranné nebo bezpečnostní pásmo:</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B.2 Celkový popis stavby</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nová stavba nebo změna dokončené stavby; u změny stavby údaje o jejich současném stavu, závěry stavebně technického, případně stavebně historického průzkumu a výsledky statického posouzení nosných konstrukcí:</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Stavebním záměrem je vybudování novostavby objektu MŠ.</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účel užívání stavby:</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Objekt bude užíván jako předškolní vzdělávací zařízení.</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trvalá nebo dočasná stavba:</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Jedná se o trvalou stavbu.</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informace o vydaných rozhodnutích o povolení výjimky z technických požadavků na stavby a technických požadavků zabezpečujících bezbariérové užívání stavby:</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nejsou</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informace o tom, zda a v jakých částech dokumentace jsou zohledněny podmínky závazných stanovisek dotčených orgánů:</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Na stavbu bylo pro potřebu stavebního povolení dne 25.11.2020 vydáno Městským úřadem Lysá nad Labem (Odbor výstavby a ŽP)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Koordinované závazné stanovisko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č.j.: MULNL-OVŽP/81104/2020/Roa/1KS/2069, kde jsou stanoveny podmínky, které budou stavbou zohledněny. Další případné podmínky vyplynou ze stavebního povolení.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Podmínky dané koordinovaným závazným stanoviskem z 25.11.2020:</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z hlediska ochrany vod:</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používané stroje a mechanizmy budou při realizaci zajištěny tak, aby nedošlo ke znečištění podzemní a povrchové vody a terénu ropnými a jinými závadnými látkami.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při realizaci stavby a jejím dalším užívání se zabrání úniku závadných látek a odpadních vod do půdy nebo jejich smísení s podzemními, povrchovými, odpadními či srážkovými vodami.</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do systému likvidace srážkových vod budou odváděny pouze srážkové vody ze střech. Srážková voda bude přečištěna a vsakována do půdních vrstev.</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při údržbě zpevněných ploch nebudou používány závadné látky. Režim solení musí být upraven tak, aby nedocházelo ke zhoršení ani ohrožení jakosti povrchových nebo podzemních vod. Jinak musí být k údržbě zvolen jiný posypový materiál.</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z hlediska nakládání s odpady:</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odpady vzniklé v rámci stavby musí být řádně vytříděny (např. výkopová zemina, asfalt, beton, kov, zbytky stavebních a obalových materiálů, biologicky rozložitelný materiál, barvy, materiály znečištěné chemickými látkami) a přednostně využity v souladu s citovaným zákonem o odpadech.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při nakládání s výkopovou zeminou, která bude odpadem (nebude využita na předmětném pozemku), musí být důsledně dodržován předmětný zákon o odpadech a vyhláška č. 294/2005 Sb., kterou jsou stanoveny podmínky a limitní hodnoty ukazatelů pro odpady využitelné na povrchu terénu.</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příslušné doklady potvrzující předání stavebních odpadů firmám k dalšímu využití, případně odstranění, tj. doklad firmy oprávněné k nakládání s odpady (např. kopie vážního lístku nebo faktury s uvedením druhu a množství odpadu) musí být uschovány a předloženy Městskému úřadu Lysá nad Labem odboru výstavby a životního prostředí před užíváním stavby. Nebudou přijímány doklady (např. faktura za odvoz odpadů nebo čestné prohlášení o jejich odběru), které budou vystaveny neoprávněnými subjekty nebo z nich nebude patrné, jak bylo s odpady naloženo</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pozemky dotčené stavbou musí být po dokončení stavby zbaveny veškerých odpadů a řádně uklizeny.</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z hlediska ochrany ovzduší:</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v průběhu stavby musí být zajištěna technická a organizační opatření, která povedou k minimalizaci prašnosti při prováděné činnosti (např. očištění aut před výjezdem na veřejnou komunikaci, čištění komunikací, zakrytování sypkých stavebních materiálů a zkrápění prašných povrchů na staveništi zejména za suchého a větrného období).</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z hlediska ochrany ZPF:</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realizací uvedeného záměru jsou dotčeny zájmy chráněné zákonem č. 334/ 1992 Sb. Záměr si vyžádal odnětí půdy ze ZPF, bylo vydáno závazné stanovisko č. j. MULNL-OVŽP/52406/2020/Pil/38/ZPF ze dne 4. 8. 2020.</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ochrana stavby podle jiných právních předpisů: </w:t>
        <w:tab/>
        <w:t xml:space="preserve">není</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navrhované parametry stavby - zastavěná plocha, obestavěný prostor, užitná plocha, počet funkčních jednotek a jejich velikosti apod.:</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Zastavěná plocha objektu MŠ je 729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Obestavěný prostor objektu MŠ je 2900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 objektu MŠ se nachází tři kmenové třídy pro max. počet 24 dětí.</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Celková užitná plocha objektu je 587,58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Zpevněná plocha vnitřní areálové dopravní komunikace je 865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 základní bilance stavby - potřeby a spotřeby médií a hmot, hospodaření s dešťovou vodou, celkové produkované množství a druhy odpadů a emisí, třída energetické náročnosti budov apod.:</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Bilance zemních prací, požadavky na přísun nebo deponie zemin:</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Skrývka zeminy bude opětovně použita na pozemcích školního areálu. Bude užita při revitalizaci ploch zahrady a při vytvořeni environmentální zahrady školního areálu. Dle geologického průzkumu zasahuje humózní vrstva do úrovně 0,3 m pod úroveň rostlého terénu.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614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6140"/>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Bilance skrývky ornice:</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6140"/>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BPEJ 22110 - vyjmutí plochy o výměře 1729 m2 x 0,3 m = 519 m3</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6140"/>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BPEJ 25500 - vyjmutí plochy o výměře 157 m2 x 0,3 m = 47 m3</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Celkový objem skrývky je 566 m3.</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Bilance potřeby vody (bilance splaškových vod)</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Arial" w:cs="Arial" w:eastAsia="Arial" w:hAnsi="Arial"/>
          <w:b w:val="0"/>
          <w:i w:val="0"/>
          <w:smallCaps w:val="0"/>
          <w:strike w:val="0"/>
          <w:color w:val="ff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Výpočet potřeby vody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roční potřeba</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Qrok = 10 EO x 16 + 76 EO x 8 + 86 EO x 3 =  1026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/rok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průměrná denní potřeba</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13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Qp = 1026/200 = 5130 l/d</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Množství splaškových vod</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1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Výpočty množství splaškových vod vycházejí z výpočtu potřeby pitné vody.</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Bilance dešťových vod</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Dešťová voda ze střechy MŠ, nádrž na dešťovou vodu o objemu 8,5 m3 s vystrojením na zálivku zeleně.</w:t>
      </w: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Vsakovací galerie z plastových vsakovacích bloků: 4,2 x 10,2 0,4 m.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Retenční objem: 16,28 m</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Bilance tepla:</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Užitná vytápěná plocha (obytná část) </w:t>
        <w:tab/>
        <w:tab/>
        <w:tab/>
        <w:t xml:space="preserve">610 m²</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Normální krajina, poloha budovy nechráněná</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Venkovní výpočtová teplota</w:t>
        <w:tab/>
        <w:tab/>
        <w:tab/>
        <w:tab/>
        <w:t xml:space="preserve">-13°C</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Vnitřní výpočtová teplota </w:t>
        <w:tab/>
        <w:tab/>
        <w:tab/>
        <w:tab/>
        <w:tab/>
        <w:t xml:space="preserve">21 °C</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Tepelná ztráta prostupem </w:t>
        <w:tab/>
        <w:tab/>
        <w:tab/>
        <w:tab/>
        <w:t xml:space="preserve">21,7 kW</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Tepelná ztráta větráním </w:t>
        <w:tab/>
        <w:tab/>
        <w:tab/>
        <w:tab/>
        <w:tab/>
        <w:t xml:space="preserve">8,5 kW</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Celková tepelná ztráta objektu je </w:t>
        <w:tab/>
        <w:tab/>
        <w:tab/>
        <w:t xml:space="preserve">30,2 kW</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Ohřev teplé vody </w:t>
        <w:tab/>
        <w:tab/>
        <w:tab/>
        <w:tab/>
        <w:tab/>
        <w:tab/>
        <w:t xml:space="preserve">12 kW</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Roční spotřeba tepla pro vytápění, vzduchotechniku a ohřev TV se předpokládá ve výši 175 GJ/rok.</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Energetická bilance (instalovaný / soudobý příkon):</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Provozní napětí: 3NPE 400/230 V 50 Hz</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Rozvodná soustava: TNC-S</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Měření - objekt:</w:t>
      </w:r>
    </w:p>
    <w:tbl>
      <w:tblPr>
        <w:tblStyle w:val="Table1"/>
        <w:tblW w:w="9112.0" w:type="dxa"/>
        <w:jc w:val="left"/>
        <w:tblLayout w:type="fixed"/>
        <w:tblLook w:val="0000"/>
      </w:tblPr>
      <w:tblGrid>
        <w:gridCol w:w="2267"/>
        <w:gridCol w:w="2268"/>
        <w:gridCol w:w="2267"/>
        <w:gridCol w:w="2310"/>
        <w:tblGridChange w:id="0">
          <w:tblGrid>
            <w:gridCol w:w="2267"/>
            <w:gridCol w:w="2268"/>
            <w:gridCol w:w="2267"/>
            <w:gridCol w:w="2310"/>
          </w:tblGrid>
        </w:tblGridChange>
      </w:tblGrid>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Odběr</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Pi (kW)</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Ps (kW)</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Poznámka</w:t>
            </w: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ÚT</w:t>
            </w:r>
          </w:p>
        </w:tc>
        <w:tc>
          <w:tcPr>
            <w:tcBorders>
              <w:left w:color="000000" w:space="0" w:sz="4" w:val="single"/>
              <w:bottom w:color="000000" w:space="0" w:sz="4" w:val="single"/>
            </w:tcBorders>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tcBorders>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VZT</w:t>
            </w:r>
          </w:p>
        </w:tc>
        <w:tc>
          <w:tcPr>
            <w:tcBorders>
              <w:left w:color="000000" w:space="0" w:sz="4" w:val="single"/>
              <w:bottom w:color="000000" w:space="0" w:sz="4" w:val="single"/>
            </w:tcBorders>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10,6</w:t>
            </w:r>
          </w:p>
        </w:tc>
        <w:tc>
          <w:tcPr>
            <w:tcBorders>
              <w:left w:color="000000" w:space="0" w:sz="4" w:val="single"/>
              <w:bottom w:color="000000" w:space="0" w:sz="4" w:val="single"/>
            </w:tcBorders>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Gastro 230 V</w:t>
            </w:r>
          </w:p>
        </w:tc>
        <w:tc>
          <w:tcPr>
            <w:tcBorders>
              <w:left w:color="000000" w:space="0" w:sz="4" w:val="single"/>
              <w:bottom w:color="000000" w:space="0" w:sz="4" w:val="single"/>
            </w:tcBorders>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11,3</w:t>
            </w:r>
          </w:p>
        </w:tc>
        <w:tc>
          <w:tcPr>
            <w:tcBorders>
              <w:left w:color="000000" w:space="0" w:sz="4" w:val="single"/>
              <w:bottom w:color="000000" w:space="0" w:sz="4" w:val="single"/>
            </w:tcBorders>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7,4</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0,65</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Gastro 400 V</w:t>
            </w:r>
          </w:p>
        </w:tc>
        <w:tc>
          <w:tcPr>
            <w:tcBorders>
              <w:left w:color="000000" w:space="0" w:sz="4" w:val="single"/>
              <w:bottom w:color="000000" w:space="0" w:sz="4" w:val="single"/>
            </w:tcBorders>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17,7</w:t>
            </w:r>
          </w:p>
        </w:tc>
        <w:tc>
          <w:tcPr>
            <w:tcBorders>
              <w:left w:color="000000" w:space="0" w:sz="4" w:val="single"/>
              <w:bottom w:color="000000" w:space="0" w:sz="4" w:val="single"/>
            </w:tcBorders>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11,5</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0,65</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Odběry do 3,5 kW</w:t>
            </w:r>
          </w:p>
        </w:tc>
        <w:tc>
          <w:tcPr>
            <w:tcBorders>
              <w:left w:color="000000" w:space="0" w:sz="4" w:val="single"/>
              <w:bottom w:color="000000" w:space="0" w:sz="4" w:val="single"/>
            </w:tcBorders>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p>
        </w:tc>
        <w:tc>
          <w:tcPr>
            <w:tcBorders>
              <w:left w:color="000000" w:space="0" w:sz="4" w:val="single"/>
              <w:bottom w:color="000000" w:space="0" w:sz="4" w:val="single"/>
            </w:tcBorders>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Osvětlení</w:t>
            </w:r>
          </w:p>
        </w:tc>
        <w:tc>
          <w:tcPr>
            <w:tcBorders>
              <w:left w:color="000000" w:space="0" w:sz="4" w:val="single"/>
              <w:bottom w:color="000000" w:space="0" w:sz="4" w:val="single"/>
            </w:tcBorders>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tcBorders>
              <w:left w:color="000000" w:space="0" w:sz="4" w:val="single"/>
              <w:bottom w:color="000000" w:space="0" w:sz="4" w:val="single"/>
            </w:tcBorders>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Zásuvková instalace</w:t>
            </w:r>
          </w:p>
        </w:tc>
        <w:tc>
          <w:tcPr>
            <w:tcBorders>
              <w:left w:color="000000" w:space="0" w:sz="4" w:val="single"/>
              <w:bottom w:color="000000" w:space="0" w:sz="4" w:val="single"/>
            </w:tcBorders>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w:t>
            </w:r>
          </w:p>
        </w:tc>
        <w:tc>
          <w:tcPr>
            <w:tcBorders>
              <w:left w:color="000000" w:space="0" w:sz="4" w:val="single"/>
              <w:bottom w:color="000000" w:space="0" w:sz="4" w:val="single"/>
            </w:tcBorders>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Celkem</w:t>
            </w:r>
          </w:p>
        </w:tc>
        <w:tc>
          <w:tcPr>
            <w:tcBorders>
              <w:left w:color="000000" w:space="0" w:sz="4" w:val="single"/>
              <w:bottom w:color="000000" w:space="0" w:sz="4" w:val="single"/>
            </w:tcBorders>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71,6 kW</w:t>
            </w:r>
          </w:p>
        </w:tc>
        <w:tc>
          <w:tcPr>
            <w:tcBorders>
              <w:left w:color="000000" w:space="0" w:sz="4" w:val="single"/>
              <w:bottom w:color="000000" w:space="0" w:sz="4" w:val="single"/>
            </w:tcBorders>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38,9 kW</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instalovaný příkon: Pi = 71,6 kW</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soudobý příkon: Ps = 38,9 kW</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Jistič pro odběr OBJEKT MŠ – 3/63 A</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Měření topení:</w:t>
      </w:r>
    </w:p>
    <w:tbl>
      <w:tblPr>
        <w:tblStyle w:val="Table2"/>
        <w:tblW w:w="9112.0" w:type="dxa"/>
        <w:jc w:val="left"/>
        <w:tblLayout w:type="fixed"/>
        <w:tblLook w:val="0000"/>
      </w:tblPr>
      <w:tblGrid>
        <w:gridCol w:w="2267"/>
        <w:gridCol w:w="2268"/>
        <w:gridCol w:w="2267"/>
        <w:gridCol w:w="2310"/>
        <w:tblGridChange w:id="0">
          <w:tblGrid>
            <w:gridCol w:w="2267"/>
            <w:gridCol w:w="2268"/>
            <w:gridCol w:w="2267"/>
            <w:gridCol w:w="2310"/>
          </w:tblGrid>
        </w:tblGridChange>
      </w:tblGrid>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Odběr</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Pi (kW)</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Ps (kW)</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Poznámka</w:t>
            </w: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TEPELNÉ ČERPADLA 2x</w:t>
            </w:r>
          </w:p>
        </w:tc>
        <w:tc>
          <w:tcPr>
            <w:tcBorders>
              <w:left w:color="000000" w:space="0" w:sz="4" w:val="single"/>
              <w:bottom w:color="000000" w:space="0" w:sz="4" w:val="single"/>
            </w:tcBorders>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16,5</w:t>
            </w:r>
          </w:p>
        </w:tc>
        <w:tc>
          <w:tcPr>
            <w:tcBorders>
              <w:left w:color="000000" w:space="0" w:sz="4" w:val="single"/>
              <w:bottom w:color="000000" w:space="0" w:sz="4" w:val="single"/>
            </w:tcBorders>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16,5</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Venkovní jednotka 3x5,5kW</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Elektrokotel</w:t>
            </w:r>
          </w:p>
        </w:tc>
        <w:tc>
          <w:tcPr>
            <w:tcBorders>
              <w:left w:color="000000" w:space="0" w:sz="4" w:val="single"/>
              <w:bottom w:color="000000" w:space="0" w:sz="4" w:val="single"/>
            </w:tcBorders>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w:t>
            </w:r>
          </w:p>
        </w:tc>
        <w:tc>
          <w:tcPr>
            <w:tcBorders>
              <w:left w:color="000000" w:space="0" w:sz="4" w:val="single"/>
              <w:bottom w:color="000000" w:space="0" w:sz="4" w:val="single"/>
            </w:tcBorders>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Celkem</w:t>
            </w:r>
          </w:p>
        </w:tc>
        <w:tc>
          <w:tcPr>
            <w:tcBorders>
              <w:left w:color="000000" w:space="0" w:sz="4" w:val="single"/>
              <w:bottom w:color="000000" w:space="0" w:sz="4" w:val="single"/>
            </w:tcBorders>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34,5 kW</w:t>
            </w:r>
          </w:p>
        </w:tc>
        <w:tc>
          <w:tcPr>
            <w:tcBorders>
              <w:left w:color="000000" w:space="0" w:sz="4" w:val="single"/>
              <w:bottom w:color="000000" w:space="0" w:sz="4" w:val="single"/>
            </w:tcBorders>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30,5 kW</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instalovaný příkon: Pi = 34,5 kW</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soudobý příkon: Ps = 30,5 kW</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Jistič pro odběr TOPENÍ – 3/63 A</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základní předpoklady výstavby - časové údaje o realizaci stavby, členění na etapy:</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Stavba bude realizována jako celek, a to po částech:</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1 – výkopové a terénní přípravné práce</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2 – základové pasy, základová deska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3 – hrubá vrchní stavba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4 – krov, střešní krytina</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5 – dokončovací práce</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Předpokládané termíny:</w:t>
        <w:tab/>
        <w:t xml:space="preserve">Zahájení stavby</w:t>
        <w:tab/>
        <w:tab/>
        <w:t xml:space="preserve">03/2021</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 xml:space="preserve">Dokončení stavby</w:t>
        <w:tab/>
        <w:tab/>
        <w:t xml:space="preserve">08/2021</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 orientační náklady stavby.</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20 mil. Kč</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B.3 Požadavky na zpracování dodavatelské dokumentace stavby</w:t>
      </w: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Dodavatelská dokumentace bude obsahovat dokumentaci pro pomocné práce a konstrukce, výrobně technickou dokumentaci, dokumentaci výrobků dodaných na stavbu, výkresy prefabrikátů a montážní dokumentaci.</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Montážní dokumentace bude zpracována pro všechny prvky (vnitřní stěny, fasádní prvky, atypické konstrukce), výrobně technická dokumentace pro technická zařízení (např. žaluzie apod.), dále bude zpracována dokumentace vyztužení betonových konstrukcí a podrobná dokumentace prefabrikátů.</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Dále bude zpracován výpočet umělého osvětlení podle skutečně dodávaných svítidel (včetně oslnění). Dokumentace bude nutné zpracovat před osazením zařízení a potvrdit ji s KHS a následně předložit ke kolaudaci.</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Samostatně bude zpracována dokumentace pro dočasné stavby související se stavbou (buňkoviště apod.) a zajištěno k nim příslušné stavební povolení.</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Dodavatel také zpracuje dokumentaci skutečného provedení stavby. Součástí předání stavby bude také dokumentace nutná k řádnému provozování stavby.</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 veškeré stavební prvky a konstrukce bude dodavatelem v dostatečném předstihu vyhotovena výrobní (realizační) dokumentace. Teprve po jejím odsouhlasení GP budou prvky a konstrukce vyrobeny a osazeny.</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 železobetonových monolitických konstrukcích budou provedeny prostupy dle požadavku profesí. Prostupy budou součástí podrobných výkresů vyztužení a bude koordinováno s GP. Součástí realizační dokumentace bude, kromě předem definovaných prostupů monolitickou konstrukcí, koordinace a zakreslení prostupů dodatečně vrtaných.</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 základě vybraných koncových elementů bude provedena koordinace podhledů.</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Budou zpracovány spárořezy a kladečské plány skládaných podlah, obkladů apod. podle skutečně použitých výrobků.</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Všechny použité materiály a prvky musí odpovídat příslušným ČSN a musí mít všechny atesty pro použití v České republice. Všechny materiály a výrobky musí být v 1. třídě jakosti.</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Při provádění je nutné dodržovat veškeré platné technologické předpisy a normy, stejně jako zásady bezpečnosti práce a ochrany zdraví pracujících. Zhotovitel je povinen se obeznámit s místní situací.</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 veškeré nové stavební prvky a konstrukce bude dodavatelem vyhotovena výrobní dokumentace a teprve po jejím odsouhlasení architektem budou prvky a konstrukce vyrobeny a osazeny.</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 profesi MaR bude zpracována realizační dokumentace jako součást dodávky dle vybraného dodavatele. Požadavky na MaR viz část PD elektro a vytápění.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Veškeré práce bude provádět pouze odborně způsobilá oprávněná organizace (právnická nebo fyzická osoba) svými odborně způsobilými zaměstnanci – držiteli platného osvědčení odborné způsobilosti k montážím a opravám. Zhotovitel bude po dobu demontáží i montáží postupovat dle obecně závazných právních předpisů relevantních pro předmětnou činnost vždy v aktuálním znění, dále pak příslušnými ČSN, ČSN EN, TPG, TDG apod.</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51"/>
        </w:tabs>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Veškeré odchylky od projektu musí být předem konzultovány a odsouhlaseny zpracovatelem projektu</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B.4 Požadavky na zpracování plánu bezpečnosti a ochrany zdraví při práci na staveništi</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Za veškerou bezpečnost na staveništi a v okolí staveniště, rovněž za celkovou bezpečnost průběhu stavby nese odpovědnost zhotovitel stavby.</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 smyslu zákona č. 309/2006 Sb., o zajištění podmínek bezpečnosti a ochrany zdraví při práci, ve znění pozdějších předpisů a v souladu s nařízením vlády č. 591/2006 Sb., o bližších minimálních požadavcích na bezpečnost a ochranu zdraví při práci na staveništích, zajistí zadavatel zpracování plánu BOZP podle druhu a velikosti stavby tak, aby plně vyhovoval potřebám zajištění bezpečné a zdraví neohrožující práce. V Plánu je nutné uvést potřebná opatření z hlediska časové potřeby i způsobu provedení; musí být rovněž přizpůsoben skutečnému stavu a podstatným změnám během realizace stavby. Jeho obsahem jsou legislativní podklady, stanovení nebezpečí a posouzení rizik při provádění prací na staveništi. Dodržování zásad uvedených v Plánu je povinné pro všechny osoby pohybující se na staveništi, a to jak osob na staveništi pracujících, tak veškerých jejich návštěv, a to včetně zástupců investora, odborníků přizvaných ke konzultaci řešení případně vzniklých operativních problémů; technický dozor investora a autorský dozor projektanta nevyjímaje. Vztahuje se též na právnické a fyzické osoby zaměstnávané dle zákoníku práce a dále na právnické a fyzické osoby ve smluvním vztahu se zadavatelem, hlavním zhotovitelem, případně jeho dalšími subdodavateli. Plán nezbavuje osoby povinnosti znát a dodržovat všechny platné předpisy, a to i přesto, že nejsou v Plánu obsaženy.</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Dle §14 zákona č.309/2006 Sb. O bezpečnosti práce, budou-li na staveništi působit zaměstnanci více než jednoho zhotovitele stavby, je zadavatel stavby povinen určit potřebný počet koordinátorů bezpečnosti a ochrany zdraví při práci na staveništi (dále jen "koordinátor") s přihlédnutím k rozsahu a složitosti díla a jeho náročnosti na koordinaci ve fázi přípravy a ve fázi jeho realizace. Činnosti koordinátora při přípravě díla a při jeho realizaci mohou být vykonávány toutéž osobou.</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Dle §15 v případech, kdy při realizaci stavby</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celková předpokládaná doba trvání prací a činností je delší než 30 pracovních dnů, ve kterých budou vykonávány práce a činnosti a bude na nich pracovat současně více než 20 fyzických osob po dobu delší než 1 pracovní den, nebo</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 celkový plánovaný objem prací a činností během realizace díla přesáhne 500 pracovních dnů v přepočtu na jednu fyzickou osobu</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je zadavatel stavby povinen doručit oznámení o zahájení prací, jehož náležitosti stanoví prováděcí právní předpis, oblastnímu inspektorátu práce příslušnému podle místa staveniště nejpozději do 8 dnů před předáním staveniště zhotoviteli; oznámení může být doručeno v listinné nebo elektronické podobě. Dojde-li k podstatným změnám údajů obsažených v oznámení, je zadavatel stavby povinen provést bez zbytečného odkladu jeho aktualizaci. Stejnopis oznámení o zahájení prací musí být vyvěšen na viditelném místě u vstupu na staveniště po celou dobu provádění stavby až do ukončení prací a předání stavby stavebníkovi k užívání. Rozsáhlé stavby mohou být označeny jiným vhodným způsobem, například tabulí s uvedením potřebných údajů. Uvedené údaje mohou být součástí štítku nebo tabule umisťované na staveništi nebo stavbě.</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Při provádění všech prací je bezpodmínečně nutné dodržování všech základních vyhlášek a předpisů bezpečnosti práce, technologických postupů a ČSN. Pracovníci budou prokazatelně poučeni o zásadách bezpečnosti práce. Na staveniště bude zakázán vstup všem nepovolaným osobám.</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Během provozu stavby je nutno dodržovat všechny články platných ČSN a předpisů o bezpečnosti a ochraně zdraví, zákon 309/2006 Sb. a souvisejících předpisů. Zajištění ochrany, zdraví a bezpečnost pracovníků se řídí zákonem 262/2006 Sb. v platném znění. Stavební práce budou probíhat tak, aby byly ostatní objekty a jejich uživatelé minimálně obtěžováni hlukem, prachem a jinými negativními vlivy vzniklými při provádění stavby.</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Budou použity stroje a mechanismy s primárně omezenou úrovní hlučnosti (v dobrém technickém stavu, s protihlukovou kapotáží).</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 zajištění bezpečnosti práce v průběhu realizace stavby je třeba respektovat ustanovení závazných předpisů a nařízení, zejména pak:</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Zákony</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262/2006 Sb., zákoník práce ve znění pozdějších předpisů a doplnění</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258/2000 Sb., o ochraně veřejného zdraví</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361/2000 Sb., o provozu na pozemních komunikacích</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185/2001Sb., o odpadech a o změně některých dalších zákonů</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22/1997 Sb., o technických požadavcích na výrobky</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251/2005 Sb., o inspekci práce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Zákon č. 350/2011 Sb., o chemických látkách a chemických směsích a o změně některých zákonů (chemický zákon)</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101/2005 Sb., o podrobnějších požadavcích na pracoviště a pracovní prostředí.</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362/2005 Sb., o bližších požadavcích na bezpečnost a ochranu zdraví při práci na pracovišti s nebezpečím pádu z výšky nebo hloubky</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361/2007 Sb., kterým se stanoví podmínky ochrany zdraví při práci</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378/2001 Sb., kterým se stanoví bližší požadavky na bezpečný provoz a používání strojů, technických zařízení, přístrojů a nářadí</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375/2017 Sb., kterým se stanoví vzhled a umístění bezpečnostních značek a zavedení signálů</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168/2002 Sb., kterým se stanoví způsob organizace práce a pracovních postupů, které je zaměstnavatel povinen zajistit při provozování dopravy dopravními prostředky</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406/2004 Sb., o bližších požadavcích na zajištění bezpečnosti a ochrany zdraví při práci v prostředí s nebezpečím výbuchu</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272/2011 Sb., o ochraně zdraví před nepříznivými účinky hluku a vibrací</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339/2017 Sb., kterým se stanoví způsob organizace práce a pracovních postupů, které je zaměstnavatel povinen zajistit při práci v lese a na pracovištích obdobného charakteru</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201/2010 Sb., kterým se stanoví způsob evidence úrazů, hlášení a zasílání záznamu o úrazu</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495/2001 Sb. kterým se stanoví rozsah a bližší podmínky poskytování osobních ochranných pracovních prostředků, mycích, čisticích a dezinfekčních prostředků</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Nařízení vlády č. 591/2006 Sb., o bližších minimálních požadavcích na bezpečnost a ochranu zdraví při práci na staveništích</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Vyhlášky</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Vyhláška č. 268/2009 Sb., o obecných technických požadavcích na stavby</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Vyhláška č. 394/2006 Sb., kterou se stanoví práce s ojedinělou a krátkodobou expozicí azbestu a postup při určení ojedinělé a krátkodobé expozice těchto prací</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Vyhláška č. 526/2006 Sb., kterou se provádějí některá ustanovení stavebního zákona ve věcech stavebního řádu ve znění vyhlášky č. 63/2013 Sb.</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Vyhláška č. 383/2001 Sb., o podrobnostech nakládání s odpady</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Celý prostor staveniště bude oplocen minimálně do výšky 1,8 m. Každých 10 běžných metrů oplocení bude ve výšce 1,1 – 1,5 m umístěna informační tabule s nápisem „Nepovolaným vstup zakázán“. Každý návštěvník musí být doprovázen zástupcem zhotovitele nebo subdodavatele, jehož jméno bude rovněž zaznamenáno stejně jako jméno návštěvníka bezpečnostní službou nebo osobou k tomu určenou. Návštěvník musí být rovněž vybaven příslušnými ochrannými prostředky a poučen o BOZP. Za oboje odpovídá doprovázející osoba.</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Staveniště bude vybaveno buňkami, ve kterých bude kancelář hlavního stavbyvedoucího, která je vybavena lékárničkou, hasícími přístroji vhodnými i na hašení elektrických zařízení. Další lékárničky jsou součástí povinné výbavy motorových vozidel, které se na staveništi pohybují.</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Při zpracování plánu BOZP bude samostatně popsáno řešení provádění stavby v prostorech, kde se prolíná provoz stavby a provoz areálu školy a není možná odstávka.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B.5 Ochrana životního prostředí při výstavbě</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Staveniště bude uspořádáno tak, aby nedocházelo k nadměrnému znečišťování ovzduší a okolí stavby, nesmí byt nepovoleně omezován provoz na komunikacích, nesmí byt nadměrně znečišťováno ovzduší a okolí stavby, ani jinak zhoršováno životní prostředí. Nesmí byt omezena práva vlastníků sousedních pozemků. Maximálním důrazem na prefabrikaci a suchý proces stavění/montování značně omezuje dosah stavby na okolí. Objekt základní školy je dostatečně vzdálen od staveniště. Stavba nebude mít zásadní vliv na výuku probíhající v objektu základní školy. Nejrušnější provozy stavby budou probíhat v odpoledních hodinách. Stávající provoz základní školy nebude stavbou dotčen. Provoz v areálu školy na současné zahradě bude upraven v závislosti na probíhajících pracích při stavbě.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Krátkodobé zábory staveniště budou v místech kontaktu s veřejným prostorem vymezeny přenosnými zábranami, přechodným dopravním značením nebo jiným náležitým způsobem. Staveniště je oploceno s využitím systému dočasného oplocení. Tím bude zamezeno možnosti zranění a ohrožení zdraví nepovolané veřejnosti. Při stavbě nedochází k asanaci, demolici ani kácení dřevin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Zábor obecního pozemku pro realizaci stavby se neprovádí.</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Jelikož se jedná o výstavbu nových konstrukcí, nebudou při výstavbě vznikat odpady z vybouraných stávajících konstrukcí. Běžné stavební odpady budou tříděny a odváženy dodavatelem stavby k likvidaci na skládku.</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Doprava na staveniště bude probíhat po stávající komunikaci. Na pozemku bude řešena doprava po zpevněné části podél objektu základní školy přes pozemky školy až ke staveništi. Část této komunikace pro stavbu bude zbudována jako provizorní z panelů na místě budoucí zpevněné komunikace školního areálu.</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18" w:top="1560" w:left="1418" w:right="1418" w:header="0"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ambr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20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ab/>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Mateřská škola Přerov nad Labem</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Narrow" w:cs="Arial Narrow" w:eastAsia="Arial Narrow" w:hAnsi="Arial Narrow"/>
        <w:b w:val="0"/>
        <w:i w:val="0"/>
        <w:smallCaps w:val="0"/>
        <w:strike w:val="0"/>
        <w:color w:val="000000"/>
        <w:sz w:val="24"/>
        <w:szCs w:val="24"/>
        <w:u w:val="singl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single"/>
        <w:shd w:fill="auto" w:val="clear"/>
        <w:vertAlign w:val="baseline"/>
        <w:rtl w:val="0"/>
      </w:rPr>
      <w:t xml:space="preserve">DPS – Dokumentace pro provádění stavby</w:t>
      <w:tab/>
      <w:tab/>
      <w:t xml:space="preserve">B – SOUHRNNÁ TECHNICKÁ ZPRÁVA</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cs-C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5.0" w:type="dxa"/>
        <w:left w:w="55.0" w:type="dxa"/>
        <w:bottom w:w="55.0" w:type="dxa"/>
        <w:right w:w="55.0" w:type="dxa"/>
      </w:tblCellMar>
    </w:tblPr>
  </w:style>
  <w:style w:type="table" w:styleId="Table2">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